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4B" w:rsidRDefault="00FC004B" w:rsidP="008C07CC">
      <w:pPr>
        <w:spacing w:line="193" w:lineRule="atLeast"/>
        <w:ind w:firstLine="567"/>
        <w:jc w:val="center"/>
        <w:rPr>
          <w:b/>
          <w:color w:val="000000"/>
          <w:sz w:val="28"/>
          <w:szCs w:val="28"/>
        </w:rPr>
      </w:pPr>
      <w:r>
        <w:rPr>
          <w:b/>
          <w:color w:val="000000"/>
          <w:sz w:val="28"/>
          <w:szCs w:val="28"/>
        </w:rPr>
        <w:t>Итоги</w:t>
      </w:r>
      <w:r w:rsidR="007E64A8">
        <w:rPr>
          <w:b/>
          <w:color w:val="000000"/>
          <w:sz w:val="28"/>
          <w:szCs w:val="28"/>
        </w:rPr>
        <w:t xml:space="preserve"> деятельности</w:t>
      </w:r>
      <w:r w:rsidR="005E06C4" w:rsidRPr="008C07CC">
        <w:rPr>
          <w:b/>
          <w:color w:val="000000"/>
          <w:sz w:val="28"/>
          <w:szCs w:val="28"/>
        </w:rPr>
        <w:t xml:space="preserve"> отдела внутреннего карантина растений, качества и безопасности зерна и продуктов его переработки </w:t>
      </w:r>
    </w:p>
    <w:p w:rsidR="005E06C4" w:rsidRPr="008C07CC" w:rsidRDefault="005E06C4" w:rsidP="008C07CC">
      <w:pPr>
        <w:spacing w:line="193" w:lineRule="atLeast"/>
        <w:ind w:firstLine="567"/>
        <w:jc w:val="center"/>
        <w:rPr>
          <w:b/>
          <w:color w:val="000000"/>
          <w:sz w:val="28"/>
          <w:szCs w:val="28"/>
        </w:rPr>
      </w:pPr>
      <w:r w:rsidRPr="008C07CC">
        <w:rPr>
          <w:b/>
          <w:color w:val="000000"/>
          <w:sz w:val="28"/>
          <w:szCs w:val="28"/>
        </w:rPr>
        <w:t>за первое полугодие 2014 года</w:t>
      </w:r>
    </w:p>
    <w:p w:rsidR="005E06C4" w:rsidRPr="008C07CC" w:rsidRDefault="005E06C4" w:rsidP="005E06C4">
      <w:pPr>
        <w:pStyle w:val="a3"/>
        <w:spacing w:before="0" w:beforeAutospacing="0" w:after="0" w:afterAutospacing="0"/>
        <w:jc w:val="both"/>
        <w:rPr>
          <w:sz w:val="28"/>
          <w:szCs w:val="28"/>
        </w:rPr>
      </w:pPr>
    </w:p>
    <w:p w:rsidR="00373F2C" w:rsidRPr="008C07CC" w:rsidRDefault="005E06C4" w:rsidP="00B643E0">
      <w:pPr>
        <w:spacing w:line="193" w:lineRule="atLeast"/>
        <w:ind w:firstLine="567"/>
        <w:jc w:val="both"/>
        <w:rPr>
          <w:color w:val="000000"/>
          <w:sz w:val="28"/>
          <w:szCs w:val="28"/>
        </w:rPr>
      </w:pPr>
      <w:r w:rsidRPr="008C07CC">
        <w:rPr>
          <w:color w:val="000000"/>
          <w:sz w:val="28"/>
          <w:szCs w:val="28"/>
        </w:rPr>
        <w:t xml:space="preserve">Подведены итоги работы отдела внутреннего карантина растений, качества и безопасности зерна и продуктов его переработки за первое полугодие 2014 года. Должностными лицами отдела за данный период было проведено 482 проверки, по  итогам которых было выявлено  462 нарушения законодательства РФ. </w:t>
      </w:r>
    </w:p>
    <w:p w:rsidR="00373F2C" w:rsidRPr="008C07CC" w:rsidRDefault="00373F2C" w:rsidP="005E06C4">
      <w:pPr>
        <w:spacing w:line="193" w:lineRule="atLeast"/>
        <w:ind w:firstLine="567"/>
        <w:jc w:val="both"/>
        <w:rPr>
          <w:color w:val="000000"/>
          <w:sz w:val="28"/>
          <w:szCs w:val="28"/>
        </w:rPr>
      </w:pPr>
    </w:p>
    <w:p w:rsidR="00373F2C" w:rsidRPr="008C07CC" w:rsidRDefault="00373F2C" w:rsidP="005E06C4">
      <w:pPr>
        <w:spacing w:line="193" w:lineRule="atLeast"/>
        <w:ind w:firstLine="567"/>
        <w:jc w:val="both"/>
        <w:rPr>
          <w:color w:val="000000"/>
          <w:sz w:val="28"/>
          <w:szCs w:val="28"/>
        </w:rPr>
      </w:pPr>
      <w:r w:rsidRPr="008C07CC">
        <w:rPr>
          <w:b/>
          <w:noProof/>
          <w:sz w:val="28"/>
          <w:szCs w:val="28"/>
        </w:rPr>
        <w:drawing>
          <wp:inline distT="0" distB="0" distL="0" distR="0">
            <wp:extent cx="5086426" cy="2735248"/>
            <wp:effectExtent l="1905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3F2C" w:rsidRPr="008C07CC" w:rsidRDefault="00373F2C" w:rsidP="005E06C4">
      <w:pPr>
        <w:spacing w:line="193" w:lineRule="atLeast"/>
        <w:ind w:firstLine="567"/>
        <w:jc w:val="both"/>
        <w:rPr>
          <w:color w:val="000000"/>
          <w:sz w:val="28"/>
          <w:szCs w:val="28"/>
        </w:rPr>
      </w:pPr>
    </w:p>
    <w:p w:rsidR="00373F2C" w:rsidRPr="008C07CC" w:rsidRDefault="00373F2C" w:rsidP="005E06C4">
      <w:pPr>
        <w:spacing w:line="193" w:lineRule="atLeast"/>
        <w:ind w:firstLine="567"/>
        <w:jc w:val="both"/>
        <w:rPr>
          <w:color w:val="000000"/>
          <w:sz w:val="28"/>
          <w:szCs w:val="28"/>
        </w:rPr>
      </w:pPr>
    </w:p>
    <w:p w:rsidR="00B643E0" w:rsidRPr="008C07CC" w:rsidRDefault="00B643E0" w:rsidP="00B643E0">
      <w:pPr>
        <w:spacing w:line="193" w:lineRule="atLeast"/>
        <w:ind w:firstLine="567"/>
        <w:jc w:val="both"/>
        <w:rPr>
          <w:color w:val="000000"/>
          <w:sz w:val="28"/>
          <w:szCs w:val="28"/>
        </w:rPr>
      </w:pPr>
      <w:r w:rsidRPr="008C07CC">
        <w:rPr>
          <w:color w:val="000000"/>
          <w:sz w:val="28"/>
          <w:szCs w:val="28"/>
        </w:rPr>
        <w:t>По всем фактам нарушений законодательства составлены протоколы, вынесены постановления и назначены административные штрафы, общая сумма  наложения составила 394200 рублей, при этом взыскано 368600 рублей, 21 материал дела об административном правонарушении направлен в суд.</w:t>
      </w:r>
    </w:p>
    <w:p w:rsidR="00B643E0" w:rsidRPr="008C07CC" w:rsidRDefault="00B643E0" w:rsidP="005E06C4">
      <w:pPr>
        <w:spacing w:line="193" w:lineRule="atLeast"/>
        <w:ind w:firstLine="567"/>
        <w:jc w:val="both"/>
        <w:rPr>
          <w:color w:val="000000"/>
          <w:sz w:val="28"/>
          <w:szCs w:val="28"/>
        </w:rPr>
      </w:pPr>
    </w:p>
    <w:p w:rsidR="00373F2C" w:rsidRPr="008C07CC" w:rsidRDefault="00B643E0" w:rsidP="00373F2C">
      <w:pPr>
        <w:spacing w:line="193" w:lineRule="atLeast"/>
        <w:jc w:val="both"/>
        <w:rPr>
          <w:color w:val="000000"/>
          <w:sz w:val="28"/>
          <w:szCs w:val="28"/>
        </w:rPr>
      </w:pPr>
      <w:r w:rsidRPr="008C07CC">
        <w:rPr>
          <w:b/>
          <w:noProof/>
          <w:sz w:val="28"/>
          <w:szCs w:val="28"/>
        </w:rPr>
        <w:drawing>
          <wp:inline distT="0" distB="0" distL="0" distR="0">
            <wp:extent cx="5462546" cy="2568271"/>
            <wp:effectExtent l="0" t="0" r="0"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3F2C" w:rsidRPr="008C07CC" w:rsidRDefault="00665D91" w:rsidP="005E06C4">
      <w:pPr>
        <w:spacing w:line="193" w:lineRule="atLeast"/>
        <w:ind w:firstLine="567"/>
        <w:jc w:val="both"/>
        <w:rPr>
          <w:color w:val="000000"/>
          <w:sz w:val="28"/>
          <w:szCs w:val="28"/>
        </w:rPr>
      </w:pPr>
      <w:r>
        <w:rPr>
          <w:noProof/>
          <w:color w:val="000000"/>
          <w:sz w:val="28"/>
          <w:szCs w:val="28"/>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12060" cy="1876425"/>
            <wp:effectExtent l="19050" t="0" r="2540" b="0"/>
            <wp:wrapSquare wrapText="bothSides"/>
            <wp:docPr id="3" name="Рисунок 2" descr="IMG_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3.JPG"/>
                    <pic:cNvPicPr/>
                  </pic:nvPicPr>
                  <pic:blipFill>
                    <a:blip r:embed="rId7" cstate="print"/>
                    <a:stretch>
                      <a:fillRect/>
                    </a:stretch>
                  </pic:blipFill>
                  <pic:spPr>
                    <a:xfrm>
                      <a:off x="0" y="0"/>
                      <a:ext cx="2512060" cy="1876425"/>
                    </a:xfrm>
                    <a:prstGeom prst="rect">
                      <a:avLst/>
                    </a:prstGeom>
                  </pic:spPr>
                </pic:pic>
              </a:graphicData>
            </a:graphic>
          </wp:anchor>
        </w:drawing>
      </w:r>
    </w:p>
    <w:p w:rsidR="00373F2C" w:rsidRPr="008C07CC" w:rsidRDefault="00373F2C" w:rsidP="005E06C4">
      <w:pPr>
        <w:spacing w:line="193" w:lineRule="atLeast"/>
        <w:ind w:firstLine="567"/>
        <w:jc w:val="both"/>
        <w:rPr>
          <w:color w:val="000000"/>
          <w:sz w:val="28"/>
          <w:szCs w:val="28"/>
        </w:rPr>
      </w:pPr>
    </w:p>
    <w:p w:rsidR="00643A73" w:rsidRPr="008C07CC" w:rsidRDefault="00643A73" w:rsidP="00643A73">
      <w:pPr>
        <w:spacing w:line="193" w:lineRule="atLeast"/>
        <w:ind w:firstLine="567"/>
        <w:jc w:val="both"/>
        <w:rPr>
          <w:color w:val="000000"/>
          <w:sz w:val="28"/>
          <w:szCs w:val="28"/>
        </w:rPr>
      </w:pPr>
    </w:p>
    <w:p w:rsidR="00643A73" w:rsidRPr="008C07CC" w:rsidRDefault="00643A73" w:rsidP="00643A73">
      <w:pPr>
        <w:spacing w:line="193" w:lineRule="atLeast"/>
        <w:ind w:firstLine="567"/>
        <w:jc w:val="both"/>
        <w:rPr>
          <w:color w:val="000000"/>
          <w:sz w:val="28"/>
          <w:szCs w:val="28"/>
        </w:rPr>
      </w:pPr>
    </w:p>
    <w:p w:rsidR="00643A73" w:rsidRPr="008C07CC" w:rsidRDefault="00643A73" w:rsidP="00643A73">
      <w:pPr>
        <w:spacing w:line="193" w:lineRule="atLeast"/>
        <w:ind w:firstLine="567"/>
        <w:jc w:val="both"/>
        <w:rPr>
          <w:color w:val="000000"/>
          <w:sz w:val="28"/>
          <w:szCs w:val="28"/>
        </w:rPr>
      </w:pPr>
    </w:p>
    <w:p w:rsidR="00136CEC" w:rsidRPr="008C07CC" w:rsidRDefault="005E06C4" w:rsidP="00643A73">
      <w:pPr>
        <w:spacing w:line="193" w:lineRule="atLeast"/>
        <w:ind w:firstLine="567"/>
        <w:jc w:val="both"/>
        <w:rPr>
          <w:color w:val="000000"/>
          <w:sz w:val="28"/>
          <w:szCs w:val="28"/>
        </w:rPr>
      </w:pPr>
      <w:r w:rsidRPr="008C07CC">
        <w:rPr>
          <w:color w:val="000000"/>
          <w:sz w:val="28"/>
          <w:szCs w:val="28"/>
        </w:rPr>
        <w:t>Должностными лицами отдела было досмотрено 2114,39 тонн, 1056076 пакетов, 195695 штук посадочного материала. Всего при ввозе досмотрено 15266 тонн подкарантинной продукции, в том числе обнаружено 1625 тонн продукции зараженной Амброзией трехраздельной и 1114 тонн продукции зараженной Амброзией полыннолистной, данная продукция (подсолнечник товарный и шрот соевый) была переработана на  предприятиях в соответствии с технологиями, обеспечивающими лишение семян жизнеспособности.</w:t>
      </w:r>
      <w:r w:rsidR="008C07CC" w:rsidRPr="008C07CC">
        <w:rPr>
          <w:noProof/>
          <w:color w:val="000000"/>
          <w:sz w:val="28"/>
          <w:szCs w:val="28"/>
        </w:rPr>
        <w:t xml:space="preserve"> </w:t>
      </w:r>
    </w:p>
    <w:p w:rsidR="005E06C4" w:rsidRPr="008C07CC" w:rsidRDefault="00665D91" w:rsidP="005E06C4">
      <w:pPr>
        <w:spacing w:line="193" w:lineRule="atLeast"/>
        <w:ind w:firstLine="567"/>
        <w:jc w:val="both"/>
        <w:rPr>
          <w:color w:val="000000"/>
          <w:sz w:val="28"/>
          <w:szCs w:val="28"/>
        </w:rPr>
      </w:pPr>
      <w:r>
        <w:rPr>
          <w:noProof/>
          <w:color w:val="000000"/>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align>center</wp:align>
            </wp:positionV>
            <wp:extent cx="2663825" cy="2003425"/>
            <wp:effectExtent l="19050" t="0" r="3175" b="0"/>
            <wp:wrapSquare wrapText="bothSides"/>
            <wp:docPr id="7" name="Рисунок 3" descr="DSC03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78.JPG"/>
                    <pic:cNvPicPr/>
                  </pic:nvPicPr>
                  <pic:blipFill>
                    <a:blip r:embed="rId8" cstate="print"/>
                    <a:stretch>
                      <a:fillRect/>
                    </a:stretch>
                  </pic:blipFill>
                  <pic:spPr>
                    <a:xfrm>
                      <a:off x="0" y="0"/>
                      <a:ext cx="2663825" cy="2003425"/>
                    </a:xfrm>
                    <a:prstGeom prst="rect">
                      <a:avLst/>
                    </a:prstGeom>
                  </pic:spPr>
                </pic:pic>
              </a:graphicData>
            </a:graphic>
          </wp:anchor>
        </w:drawing>
      </w:r>
      <w:r w:rsidR="005E06C4" w:rsidRPr="008C07CC">
        <w:rPr>
          <w:color w:val="000000"/>
          <w:sz w:val="28"/>
          <w:szCs w:val="28"/>
        </w:rPr>
        <w:t xml:space="preserve"> При вывозе с территории области было досмотрено 404277 тонн подкарантинной продукции, отобрано 10170 образцов и выдано 10120 карантинных сертификатов, выявлено 50714 тонн продукции зараженной Амброзией трехраздельной, данная продукция так же была переработана на выделенных предприятиях обеспечивающих лишение семян жизнеспособности. При досмотре подкарантинной продукции следующей на экспорт было досмотрено 16496 тонн, 474995 штук, 1022 м3 в результате досмотра было выявлено в партиях салата в количестве 0,016т и 0,04т заражение карантинным объектом - Западным цветочным трипсом, зараженная продукция была уничтожена. Всего при досмотре продукции при следовании на экспорт было отобрано 2135 проб и выдано 711 фитосанитарных сертификатов.</w:t>
      </w:r>
    </w:p>
    <w:p w:rsidR="005E06C4" w:rsidRPr="008C07CC" w:rsidRDefault="00665D91" w:rsidP="00665D91">
      <w:pPr>
        <w:spacing w:line="193" w:lineRule="atLeast"/>
        <w:ind w:firstLine="567"/>
        <w:jc w:val="both"/>
        <w:rPr>
          <w:color w:val="000000"/>
          <w:sz w:val="28"/>
          <w:szCs w:val="28"/>
        </w:rPr>
      </w:pPr>
      <w:r>
        <w:rPr>
          <w:noProof/>
          <w:color w:val="000000"/>
          <w:sz w:val="28"/>
          <w:szCs w:val="28"/>
        </w:rPr>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2698115" cy="2019300"/>
            <wp:effectExtent l="19050" t="0" r="6985" b="0"/>
            <wp:wrapSquare wrapText="bothSides"/>
            <wp:docPr id="8" name="Рисунок 7" descr="P105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403.JPG"/>
                    <pic:cNvPicPr/>
                  </pic:nvPicPr>
                  <pic:blipFill>
                    <a:blip r:embed="rId9" cstate="print"/>
                    <a:stretch>
                      <a:fillRect/>
                    </a:stretch>
                  </pic:blipFill>
                  <pic:spPr>
                    <a:xfrm>
                      <a:off x="0" y="0"/>
                      <a:ext cx="2698115" cy="2019300"/>
                    </a:xfrm>
                    <a:prstGeom prst="rect">
                      <a:avLst/>
                    </a:prstGeom>
                  </pic:spPr>
                </pic:pic>
              </a:graphicData>
            </a:graphic>
          </wp:anchor>
        </w:drawing>
      </w:r>
      <w:r w:rsidR="005E06C4" w:rsidRPr="008C07CC">
        <w:rPr>
          <w:color w:val="000000"/>
          <w:sz w:val="28"/>
          <w:szCs w:val="28"/>
        </w:rPr>
        <w:t>С целью локализации и недопущения распространения карантинных объектов на территории области и за ее пределы, и выявления новых очагов карантинных объектов  за 6 месяцев этого года  были проведены контрольные обследований сельскохозяйственных культур на площади 174452,6 га. В рамках ежегодного мониторинга по выявлению очагов карантинных объектов было обследовано 336 га плодово–ягодных насаждений, обследовано 133931 м3 складских помещений на выявление Капрового жука.</w:t>
      </w:r>
    </w:p>
    <w:p w:rsidR="00D62E79" w:rsidRDefault="005E06C4" w:rsidP="00665D91">
      <w:pPr>
        <w:ind w:firstLine="567"/>
        <w:jc w:val="both"/>
        <w:rPr>
          <w:color w:val="000000"/>
          <w:sz w:val="28"/>
          <w:szCs w:val="28"/>
        </w:rPr>
      </w:pPr>
      <w:r w:rsidRPr="008C07CC">
        <w:rPr>
          <w:color w:val="000000"/>
          <w:sz w:val="28"/>
          <w:szCs w:val="28"/>
        </w:rPr>
        <w:lastRenderedPageBreak/>
        <w:t xml:space="preserve">Основными задачами отдела на второе полугодие 2014 года, является  усиление </w:t>
      </w:r>
      <w:proofErr w:type="gramStart"/>
      <w:r w:rsidRPr="008C07CC">
        <w:rPr>
          <w:color w:val="000000"/>
          <w:sz w:val="28"/>
          <w:szCs w:val="28"/>
        </w:rPr>
        <w:t>контроля за</w:t>
      </w:r>
      <w:proofErr w:type="gramEnd"/>
      <w:r w:rsidRPr="008C07CC">
        <w:rPr>
          <w:color w:val="000000"/>
          <w:sz w:val="28"/>
          <w:szCs w:val="28"/>
        </w:rPr>
        <w:t xml:space="preserve"> состоянием подкарантинной продукции, проведение контрольных обследований сельскохозяйственных культур, мониторинг по выявлению очагов карантинных объектов, принятие мер по локализации и ликвидации очагов карантинных объектов на территории области.</w:t>
      </w:r>
    </w:p>
    <w:p w:rsidR="00130513" w:rsidRDefault="00130513" w:rsidP="00665D91">
      <w:pPr>
        <w:ind w:firstLine="567"/>
        <w:jc w:val="both"/>
        <w:rPr>
          <w:color w:val="000000"/>
          <w:sz w:val="28"/>
          <w:szCs w:val="28"/>
        </w:rPr>
      </w:pPr>
    </w:p>
    <w:p w:rsidR="00130513" w:rsidRDefault="00130513" w:rsidP="00665D91">
      <w:pPr>
        <w:ind w:firstLine="567"/>
        <w:jc w:val="both"/>
        <w:rPr>
          <w:color w:val="000000"/>
          <w:sz w:val="28"/>
          <w:szCs w:val="28"/>
        </w:rPr>
      </w:pPr>
    </w:p>
    <w:p w:rsidR="00130513" w:rsidRDefault="00130513" w:rsidP="00665D91">
      <w:pPr>
        <w:ind w:firstLine="567"/>
        <w:jc w:val="both"/>
        <w:rPr>
          <w:color w:val="000000"/>
          <w:sz w:val="28"/>
          <w:szCs w:val="28"/>
        </w:rPr>
      </w:pPr>
    </w:p>
    <w:p w:rsidR="00130513" w:rsidRDefault="00130513" w:rsidP="00665D91">
      <w:pPr>
        <w:ind w:firstLine="567"/>
        <w:jc w:val="both"/>
        <w:rPr>
          <w:color w:val="000000"/>
          <w:sz w:val="28"/>
          <w:szCs w:val="28"/>
        </w:rPr>
      </w:pPr>
    </w:p>
    <w:sectPr w:rsidR="00130513" w:rsidSect="00D6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06C4"/>
    <w:rsid w:val="000934E1"/>
    <w:rsid w:val="00130513"/>
    <w:rsid w:val="00136CEC"/>
    <w:rsid w:val="00373F2C"/>
    <w:rsid w:val="004E210D"/>
    <w:rsid w:val="005E06C4"/>
    <w:rsid w:val="005E6E97"/>
    <w:rsid w:val="00626167"/>
    <w:rsid w:val="00643A73"/>
    <w:rsid w:val="00665D91"/>
    <w:rsid w:val="00714F7C"/>
    <w:rsid w:val="007E64A8"/>
    <w:rsid w:val="008C07CC"/>
    <w:rsid w:val="00903410"/>
    <w:rsid w:val="00947976"/>
    <w:rsid w:val="00A83407"/>
    <w:rsid w:val="00B643E0"/>
    <w:rsid w:val="00C35268"/>
    <w:rsid w:val="00D62E79"/>
    <w:rsid w:val="00DA7651"/>
    <w:rsid w:val="00F700F1"/>
    <w:rsid w:val="00F966CB"/>
    <w:rsid w:val="00FC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E06C4"/>
    <w:pPr>
      <w:spacing w:before="100" w:beforeAutospacing="1" w:after="100" w:afterAutospacing="1"/>
    </w:pPr>
  </w:style>
  <w:style w:type="paragraph" w:styleId="a4">
    <w:name w:val="Balloon Text"/>
    <w:basedOn w:val="a"/>
    <w:link w:val="a5"/>
    <w:uiPriority w:val="99"/>
    <w:semiHidden/>
    <w:unhideWhenUsed/>
    <w:rsid w:val="00373F2C"/>
    <w:rPr>
      <w:rFonts w:ascii="Tahoma" w:hAnsi="Tahoma" w:cs="Tahoma"/>
      <w:sz w:val="16"/>
      <w:szCs w:val="16"/>
    </w:rPr>
  </w:style>
  <w:style w:type="character" w:customStyle="1" w:styleId="a5">
    <w:name w:val="Текст выноски Знак"/>
    <w:basedOn w:val="a0"/>
    <w:link w:val="a4"/>
    <w:uiPriority w:val="99"/>
    <w:semiHidden/>
    <w:rsid w:val="00373F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rotY val="10"/>
      <c:depthPercent val="9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3272542605367641E-2"/>
          <c:y val="3.5696232874927812E-2"/>
          <c:w val="0.94565217391304368"/>
          <c:h val="0.79794520547945391"/>
        </c:manualLayout>
      </c:layout>
      <c:bar3DChart>
        <c:barDir val="col"/>
        <c:grouping val="clustered"/>
        <c:ser>
          <c:idx val="0"/>
          <c:order val="0"/>
          <c:tx>
            <c:strRef>
              <c:f>Sheet1!$A$2</c:f>
              <c:strCache>
                <c:ptCount val="1"/>
                <c:pt idx="0">
                  <c:v>1 полугодие 2012 год</c:v>
                </c:pt>
              </c:strCache>
            </c:strRef>
          </c:tx>
          <c:spPr>
            <a:solidFill>
              <a:srgbClr val="00FF00"/>
            </a:solidFill>
            <a:ln w="12695">
              <a:solidFill>
                <a:srgbClr val="000000"/>
              </a:solidFill>
              <a:prstDash val="solid"/>
            </a:ln>
          </c:spPr>
          <c:dLbls>
            <c:dLbl>
              <c:idx val="0"/>
              <c:layout>
                <c:manualLayout>
                  <c:x val="2.2203852971550038E-2"/>
                  <c:y val="0.36529602335686839"/>
                </c:manualLayout>
              </c:layout>
              <c:tx>
                <c:rich>
                  <a:bodyPr/>
                  <a:lstStyle/>
                  <a:p>
                    <a:r>
                      <a:rPr lang="ru-RU" sz="1200"/>
                      <a:t>1 полугодие 2013 год -
372 проверки</a:t>
                    </a:r>
                  </a:p>
                </c:rich>
              </c:tx>
            </c:dLbl>
            <c:spPr>
              <a:noFill/>
              <a:ln w="25391">
                <a:noFill/>
              </a:ln>
            </c:spPr>
            <c:txPr>
              <a:bodyPr/>
              <a:lstStyle/>
              <a:p>
                <a:pPr>
                  <a:defRPr sz="1300" b="1" i="0" u="none" strike="noStrike" baseline="0">
                    <a:solidFill>
                      <a:srgbClr val="000000"/>
                    </a:solidFill>
                    <a:latin typeface="Calibri"/>
                    <a:ea typeface="Calibri"/>
                    <a:cs typeface="Calibri"/>
                  </a:defRPr>
                </a:pPr>
                <a:endParaRPr lang="ru-RU"/>
              </a:p>
            </c:txPr>
            <c:showVal val="1"/>
            <c:showSerName val="1"/>
          </c:dLbls>
          <c:cat>
            <c:strRef>
              <c:f>Sheet1!$B$1:$B$1</c:f>
              <c:strCache>
                <c:ptCount val="1"/>
                <c:pt idx="0">
                  <c:v>Проведено проверок</c:v>
                </c:pt>
              </c:strCache>
            </c:strRef>
          </c:cat>
          <c:val>
            <c:numRef>
              <c:f>Sheet1!$B$2:$B$2</c:f>
              <c:numCache>
                <c:formatCode>General</c:formatCode>
                <c:ptCount val="1"/>
                <c:pt idx="0">
                  <c:v>372</c:v>
                </c:pt>
              </c:numCache>
            </c:numRef>
          </c:val>
          <c:shape val="cylinder"/>
        </c:ser>
        <c:ser>
          <c:idx val="1"/>
          <c:order val="1"/>
          <c:tx>
            <c:strRef>
              <c:f>Sheet1!$A$3</c:f>
              <c:strCache>
                <c:ptCount val="1"/>
                <c:pt idx="0">
                  <c:v>1 полугодие 2013 год</c:v>
                </c:pt>
              </c:strCache>
            </c:strRef>
          </c:tx>
          <c:spPr>
            <a:solidFill>
              <a:srgbClr val="FF0000"/>
            </a:solidFill>
            <a:ln w="12695">
              <a:solidFill>
                <a:srgbClr val="000000"/>
              </a:solidFill>
              <a:prstDash val="solid"/>
            </a:ln>
          </c:spPr>
          <c:dLbls>
            <c:dLbl>
              <c:idx val="0"/>
              <c:layout>
                <c:manualLayout>
                  <c:x val="1.842570795289266E-2"/>
                  <c:y val="0.49931084859581387"/>
                </c:manualLayout>
              </c:layout>
              <c:tx>
                <c:rich>
                  <a:bodyPr/>
                  <a:lstStyle/>
                  <a:p>
                    <a:r>
                      <a:rPr lang="ru-RU" sz="1200"/>
                      <a:t>1 полугодие 2014год - 
482 проверки</a:t>
                    </a:r>
                  </a:p>
                </c:rich>
              </c:tx>
            </c:dLbl>
            <c:spPr>
              <a:noFill/>
              <a:ln w="25391">
                <a:noFill/>
              </a:ln>
            </c:spPr>
            <c:txPr>
              <a:bodyPr/>
              <a:lstStyle/>
              <a:p>
                <a:pPr>
                  <a:defRPr sz="1300" b="1" i="0" u="none" strike="noStrike" baseline="0">
                    <a:solidFill>
                      <a:srgbClr val="000000"/>
                    </a:solidFill>
                    <a:latin typeface="Calibri"/>
                    <a:ea typeface="Calibri"/>
                    <a:cs typeface="Calibri"/>
                  </a:defRPr>
                </a:pPr>
                <a:endParaRPr lang="ru-RU"/>
              </a:p>
            </c:txPr>
            <c:showVal val="1"/>
            <c:showSerName val="1"/>
          </c:dLbls>
          <c:cat>
            <c:strRef>
              <c:f>Sheet1!$B$1:$B$1</c:f>
              <c:strCache>
                <c:ptCount val="1"/>
                <c:pt idx="0">
                  <c:v>Проведено проверок</c:v>
                </c:pt>
              </c:strCache>
            </c:strRef>
          </c:cat>
          <c:val>
            <c:numRef>
              <c:f>Sheet1!$B$3:$B$3</c:f>
              <c:numCache>
                <c:formatCode>General</c:formatCode>
                <c:ptCount val="1"/>
                <c:pt idx="0">
                  <c:v>482</c:v>
                </c:pt>
              </c:numCache>
            </c:numRef>
          </c:val>
          <c:shape val="cylinder"/>
        </c:ser>
        <c:gapWidth val="30"/>
        <c:gapDepth val="50"/>
        <c:shape val="box"/>
        <c:axId val="83493248"/>
        <c:axId val="83494784"/>
        <c:axId val="0"/>
      </c:bar3DChart>
      <c:catAx>
        <c:axId val="83493248"/>
        <c:scaling>
          <c:orientation val="minMax"/>
        </c:scaling>
        <c:axPos val="b"/>
        <c:numFmt formatCode="General" sourceLinked="1"/>
        <c:tickLblPos val="low"/>
        <c:spPr>
          <a:ln w="3174">
            <a:solidFill>
              <a:srgbClr val="000000"/>
            </a:solidFill>
            <a:prstDash val="solid"/>
          </a:ln>
        </c:spPr>
        <c:txPr>
          <a:bodyPr rot="0" vert="horz"/>
          <a:lstStyle/>
          <a:p>
            <a:pPr>
              <a:defRPr sz="1799" b="1" i="0" u="none" strike="noStrike" baseline="0">
                <a:solidFill>
                  <a:srgbClr val="000000"/>
                </a:solidFill>
                <a:latin typeface="Calibri"/>
                <a:ea typeface="Calibri"/>
                <a:cs typeface="Calibri"/>
              </a:defRPr>
            </a:pPr>
            <a:endParaRPr lang="ru-RU"/>
          </a:p>
        </c:txPr>
        <c:crossAx val="83494784"/>
        <c:crosses val="autoZero"/>
        <c:auto val="1"/>
        <c:lblAlgn val="ctr"/>
        <c:lblOffset val="100"/>
        <c:tickLblSkip val="1"/>
        <c:tickMarkSkip val="1"/>
      </c:catAx>
      <c:valAx>
        <c:axId val="8349478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3493248"/>
        <c:crosses val="autoZero"/>
        <c:crossBetween val="between"/>
      </c:valAx>
      <c:spPr>
        <a:noFill/>
        <a:ln w="3174">
          <a:solidFill>
            <a:srgbClr val="000000"/>
          </a:solidFill>
          <a:prstDash val="solid"/>
        </a:ln>
      </c:spPr>
    </c:plotArea>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rotY val="10"/>
      <c:depthPercent val="9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0430623522224539E-2"/>
          <c:y val="3.2053671905633851E-2"/>
          <c:w val="0.89306900743245954"/>
          <c:h val="0.78577581484005765"/>
        </c:manualLayout>
      </c:layout>
      <c:bar3DChart>
        <c:barDir val="col"/>
        <c:grouping val="clustered"/>
        <c:ser>
          <c:idx val="0"/>
          <c:order val="0"/>
          <c:tx>
            <c:strRef>
              <c:f>Sheet1!$A$2</c:f>
              <c:strCache>
                <c:ptCount val="1"/>
                <c:pt idx="0">
                  <c:v>1 полугодие 2012 год</c:v>
                </c:pt>
              </c:strCache>
            </c:strRef>
          </c:tx>
          <c:spPr>
            <a:solidFill>
              <a:srgbClr val="00FF00"/>
            </a:solidFill>
            <a:ln w="12695">
              <a:solidFill>
                <a:srgbClr val="000000"/>
              </a:solidFill>
              <a:prstDash val="solid"/>
            </a:ln>
          </c:spPr>
          <c:dLbls>
            <c:dLbl>
              <c:idx val="0"/>
              <c:layout>
                <c:manualLayout>
                  <c:x val="1.6690835587213213E-2"/>
                  <c:y val="0.20687362045547109"/>
                </c:manualLayout>
              </c:layout>
              <c:tx>
                <c:rich>
                  <a:bodyPr/>
                  <a:lstStyle/>
                  <a:p>
                    <a:r>
                      <a:rPr lang="ru-RU" sz="1200"/>
                      <a:t>1 полугодие 2013 год -
337,4тыс.руб.</a:t>
                    </a:r>
                  </a:p>
                </c:rich>
              </c:tx>
            </c:dLbl>
            <c:spPr>
              <a:noFill/>
              <a:ln w="25391">
                <a:noFill/>
              </a:ln>
            </c:spPr>
            <c:txPr>
              <a:bodyPr/>
              <a:lstStyle/>
              <a:p>
                <a:pPr>
                  <a:defRPr sz="1275" b="1" i="0" u="none" strike="noStrike" baseline="0">
                    <a:solidFill>
                      <a:srgbClr val="000000"/>
                    </a:solidFill>
                    <a:latin typeface="Calibri"/>
                    <a:ea typeface="Calibri"/>
                    <a:cs typeface="Calibri"/>
                  </a:defRPr>
                </a:pPr>
                <a:endParaRPr lang="ru-RU"/>
              </a:p>
            </c:txPr>
            <c:showVal val="1"/>
            <c:showSerName val="1"/>
          </c:dLbls>
          <c:cat>
            <c:strRef>
              <c:f>Sheet1!$B$1:$B$1</c:f>
              <c:strCache>
                <c:ptCount val="1"/>
                <c:pt idx="0">
                  <c:v>Взыскано штрафов (тыс.рублей)</c:v>
                </c:pt>
              </c:strCache>
            </c:strRef>
          </c:cat>
          <c:val>
            <c:numRef>
              <c:f>Sheet1!$B$2:$B$2</c:f>
              <c:numCache>
                <c:formatCode>General</c:formatCode>
                <c:ptCount val="1"/>
                <c:pt idx="0">
                  <c:v>337.4</c:v>
                </c:pt>
              </c:numCache>
            </c:numRef>
          </c:val>
        </c:ser>
        <c:ser>
          <c:idx val="1"/>
          <c:order val="1"/>
          <c:tx>
            <c:strRef>
              <c:f>Sheet1!$A$3</c:f>
              <c:strCache>
                <c:ptCount val="1"/>
                <c:pt idx="0">
                  <c:v>1 полугодие 2013 год</c:v>
                </c:pt>
              </c:strCache>
            </c:strRef>
          </c:tx>
          <c:spPr>
            <a:solidFill>
              <a:srgbClr val="FF0000"/>
            </a:solidFill>
            <a:ln w="12695">
              <a:solidFill>
                <a:srgbClr val="000000"/>
              </a:solidFill>
              <a:prstDash val="solid"/>
            </a:ln>
          </c:spPr>
          <c:dLbls>
            <c:dLbl>
              <c:idx val="0"/>
              <c:layout>
                <c:manualLayout>
                  <c:x val="1.966544251057372E-2"/>
                  <c:y val="0.44526609536143186"/>
                </c:manualLayout>
              </c:layout>
              <c:tx>
                <c:rich>
                  <a:bodyPr/>
                  <a:lstStyle/>
                  <a:p>
                    <a:r>
                      <a:rPr lang="ru-RU" sz="1200"/>
                      <a:t>1 полугодие 2014 год - 
368,6 тыс.руб.</a:t>
                    </a:r>
                  </a:p>
                </c:rich>
              </c:tx>
            </c:dLbl>
            <c:spPr>
              <a:noFill/>
              <a:ln w="25391">
                <a:noFill/>
              </a:ln>
            </c:spPr>
            <c:txPr>
              <a:bodyPr/>
              <a:lstStyle/>
              <a:p>
                <a:pPr>
                  <a:defRPr sz="1275" b="1" i="0" u="none" strike="noStrike" baseline="0">
                    <a:solidFill>
                      <a:srgbClr val="000000"/>
                    </a:solidFill>
                    <a:latin typeface="Calibri"/>
                    <a:ea typeface="Calibri"/>
                    <a:cs typeface="Calibri"/>
                  </a:defRPr>
                </a:pPr>
                <a:endParaRPr lang="ru-RU"/>
              </a:p>
            </c:txPr>
            <c:showVal val="1"/>
            <c:showSerName val="1"/>
          </c:dLbls>
          <c:cat>
            <c:strRef>
              <c:f>Sheet1!$B$1:$B$1</c:f>
              <c:strCache>
                <c:ptCount val="1"/>
                <c:pt idx="0">
                  <c:v>Взыскано штрафов (тыс.рублей)</c:v>
                </c:pt>
              </c:strCache>
            </c:strRef>
          </c:cat>
          <c:val>
            <c:numRef>
              <c:f>Sheet1!$B$3:$B$3</c:f>
              <c:numCache>
                <c:formatCode>General</c:formatCode>
                <c:ptCount val="1"/>
                <c:pt idx="0">
                  <c:v>368.6</c:v>
                </c:pt>
              </c:numCache>
            </c:numRef>
          </c:val>
        </c:ser>
        <c:gapWidth val="30"/>
        <c:gapDepth val="50"/>
        <c:shape val="cylinder"/>
        <c:axId val="83716736"/>
        <c:axId val="83718528"/>
        <c:axId val="0"/>
      </c:bar3DChart>
      <c:catAx>
        <c:axId val="83716736"/>
        <c:scaling>
          <c:orientation val="minMax"/>
        </c:scaling>
        <c:axPos val="b"/>
        <c:numFmt formatCode="General" sourceLinked="1"/>
        <c:tickLblPos val="low"/>
        <c:spPr>
          <a:ln w="3174">
            <a:solidFill>
              <a:schemeClr val="accent1"/>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83718528"/>
        <c:crosses val="autoZero"/>
        <c:auto val="1"/>
        <c:lblAlgn val="ctr"/>
        <c:lblOffset val="100"/>
        <c:tickLblSkip val="1"/>
        <c:tickMarkSkip val="1"/>
      </c:catAx>
      <c:valAx>
        <c:axId val="8371852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3716736"/>
        <c:crosses val="autoZero"/>
        <c:crossBetween val="between"/>
      </c:valAx>
      <c:spPr>
        <a:noFill/>
        <a:ln w="25391">
          <a:noFill/>
        </a:ln>
      </c:spPr>
    </c:plotArea>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78E81-8052-4139-984F-79FA62EA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Admin</cp:lastModifiedBy>
  <cp:revision>14</cp:revision>
  <cp:lastPrinted>2014-07-23T03:42:00Z</cp:lastPrinted>
  <dcterms:created xsi:type="dcterms:W3CDTF">2014-07-09T05:35:00Z</dcterms:created>
  <dcterms:modified xsi:type="dcterms:W3CDTF">2014-08-13T06:26:00Z</dcterms:modified>
</cp:coreProperties>
</file>